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182_ES25_TFB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GS Nieder-Olm Umgestaltung Pausenho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-, Tief- und Straßen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